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HG丸ｺﾞｼｯｸM-PRO" w:hAnsi="HG丸ｺﾞｼｯｸM-PRO"/>
        </w:rPr>
      </w:pPr>
    </w:p>
    <w:p>
      <w:pPr>
        <w:pStyle w:val="0"/>
        <w:jc w:val="center"/>
        <w:rPr>
          <w:rFonts w:hint="default" w:ascii="HG丸ｺﾞｼｯｸM-PRO" w:hAnsi="HG丸ｺﾞｼｯｸM-PRO"/>
          <w:sz w:val="36"/>
        </w:rPr>
      </w:pPr>
      <w:r>
        <w:rPr>
          <w:rFonts w:hint="eastAsia" w:ascii="HG丸ｺﾞｼｯｸM-PRO" w:hAnsi="HG丸ｺﾞｼｯｸM-PRO"/>
        </w:rPr>
        <w:t>契　　　　　約　　　　　書（案）</w:t>
      </w:r>
    </w:p>
    <w:p>
      <w:pPr>
        <w:pStyle w:val="0"/>
        <w:spacing w:line="300" w:lineRule="exact"/>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広島県を甲とし、　　　　　　　　を乙として、甲と乙は、次のとおり物品の売買契約を締結した。</w:t>
      </w:r>
    </w:p>
    <w:p>
      <w:pPr>
        <w:pStyle w:val="0"/>
        <w:spacing w:line="300" w:lineRule="exact"/>
        <w:rPr>
          <w:rFonts w:hint="default" w:ascii="HG丸ｺﾞｼｯｸM-PRO" w:hAnsi="HG丸ｺﾞｼｯｸM-PRO"/>
        </w:rPr>
      </w:pPr>
      <w:r>
        <w:rPr>
          <w:rFonts w:hint="eastAsia" w:ascii="HG丸ｺﾞｼｯｸM-PRO" w:hAnsi="HG丸ｺﾞｼｯｸM-PRO"/>
        </w:rPr>
        <w:t>　（目的）</w:t>
      </w:r>
    </w:p>
    <w:p>
      <w:pPr>
        <w:pStyle w:val="0"/>
        <w:spacing w:line="300" w:lineRule="exact"/>
        <w:ind w:left="330" w:hanging="330" w:hangingChars="150"/>
        <w:rPr>
          <w:rFonts w:hint="default" w:ascii="HG丸ｺﾞｼｯｸM-PRO" w:hAnsi="HG丸ｺﾞｼｯｸM-PRO"/>
        </w:rPr>
      </w:pPr>
      <w:r>
        <w:rPr>
          <w:rFonts w:hint="eastAsia" w:ascii="HG丸ｺﾞｼｯｸM-PRO" w:hAnsi="HG丸ｺﾞｼｯｸM-PRO"/>
        </w:rPr>
        <w:t>第１条　乙は、甲の指示に基づき、次の表に定めるとおり、物品を納入することを約し、甲は、これを承諾した。</w:t>
      </w:r>
    </w:p>
    <w:tbl>
      <w:tblPr>
        <w:tblStyle w:val="11"/>
        <w:tblW w:w="0" w:type="auto"/>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20"/>
        <w:gridCol w:w="6945"/>
      </w:tblGrid>
      <w:tr>
        <w:trPr/>
        <w:tc>
          <w:tcPr>
            <w:tcW w:w="1920" w:type="dxa"/>
            <w:vAlign w:val="center"/>
          </w:tcPr>
          <w:p>
            <w:pPr>
              <w:pStyle w:val="0"/>
              <w:rPr>
                <w:rFonts w:hint="default" w:ascii="HG丸ｺﾞｼｯｸM-PRO" w:hAnsi="HG丸ｺﾞｼｯｸM-PRO"/>
              </w:rPr>
            </w:pPr>
            <w:r>
              <w:rPr>
                <w:rFonts w:hint="eastAsia" w:ascii="HG丸ｺﾞｼｯｸM-PRO" w:hAnsi="HG丸ｺﾞｼｯｸM-PRO"/>
              </w:rPr>
              <w:t>１　</w:t>
            </w:r>
            <w:r>
              <w:rPr>
                <w:rFonts w:hint="eastAsia" w:ascii="HG丸ｺﾞｼｯｸM-PRO" w:hAnsi="HG丸ｺﾞｼｯｸM-PRO"/>
                <w:spacing w:val="395"/>
                <w:kern w:val="0"/>
              </w:rPr>
              <w:t>品</w:t>
            </w:r>
            <w:r>
              <w:rPr>
                <w:rFonts w:hint="eastAsia" w:ascii="HG丸ｺﾞｼｯｸM-PRO" w:hAnsi="HG丸ｺﾞｼｯｸM-PRO"/>
                <w:kern w:val="0"/>
              </w:rPr>
              <w:t>名</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灯油</w:t>
            </w:r>
          </w:p>
        </w:tc>
      </w:tr>
      <w:tr>
        <w:trPr/>
        <w:tc>
          <w:tcPr>
            <w:tcW w:w="1920" w:type="dxa"/>
            <w:vAlign w:val="center"/>
          </w:tcPr>
          <w:p>
            <w:pPr>
              <w:pStyle w:val="0"/>
              <w:rPr>
                <w:rFonts w:hint="default" w:ascii="HG丸ｺﾞｼｯｸM-PRO" w:hAnsi="HG丸ｺﾞｼｯｸM-PRO"/>
              </w:rPr>
            </w:pPr>
            <w:r>
              <w:rPr>
                <w:rFonts w:hint="eastAsia" w:ascii="HG丸ｺﾞｼｯｸM-PRO" w:hAnsi="HG丸ｺﾞｼｯｸM-PRO"/>
              </w:rPr>
              <w:t>２　</w:t>
            </w:r>
            <w:r>
              <w:rPr>
                <w:rFonts w:hint="eastAsia" w:ascii="HG丸ｺﾞｼｯｸM-PRO" w:hAnsi="HG丸ｺﾞｼｯｸM-PRO"/>
                <w:spacing w:val="395"/>
                <w:kern w:val="0"/>
              </w:rPr>
              <w:t>規</w:t>
            </w:r>
            <w:r>
              <w:rPr>
                <w:rFonts w:hint="eastAsia" w:ascii="HG丸ｺﾞｼｯｸM-PRO" w:hAnsi="HG丸ｺﾞｼｯｸM-PRO"/>
                <w:kern w:val="0"/>
              </w:rPr>
              <w:t>格</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ＪＩＳ規格１号</w:t>
            </w:r>
          </w:p>
        </w:tc>
      </w:tr>
      <w:tr>
        <w:trPr/>
        <w:tc>
          <w:tcPr>
            <w:tcW w:w="1920" w:type="dxa"/>
            <w:vAlign w:val="center"/>
          </w:tcPr>
          <w:p>
            <w:pPr>
              <w:pStyle w:val="0"/>
              <w:rPr>
                <w:rFonts w:hint="default" w:ascii="HG丸ｺﾞｼｯｸM-PRO" w:hAnsi="HG丸ｺﾞｼｯｸM-PRO"/>
                <w:strike w:val="1"/>
              </w:rPr>
            </w:pPr>
            <w:r>
              <w:rPr>
                <w:rFonts w:hint="eastAsia" w:ascii="HG丸ｺﾞｼｯｸM-PRO" w:hAnsi="HG丸ｺﾞｼｯｸM-PRO"/>
              </w:rPr>
              <w:t>３　</w:t>
            </w:r>
            <w:r>
              <w:rPr>
                <w:rFonts w:hint="eastAsia" w:ascii="HG丸ｺﾞｼｯｸM-PRO" w:hAnsi="HG丸ｺﾞｼｯｸM-PRO"/>
                <w:color w:val="000000"/>
                <w:spacing w:val="53"/>
                <w:kern w:val="0"/>
                <w:fitText w:val="1200" w:id="1"/>
              </w:rPr>
              <w:t>予定数</w:t>
            </w:r>
            <w:r>
              <w:rPr>
                <w:rFonts w:hint="eastAsia" w:ascii="HG丸ｺﾞｼｯｸM-PRO" w:hAnsi="HG丸ｺﾞｼｯｸM-PRO"/>
                <w:color w:val="000000"/>
                <w:spacing w:val="1"/>
                <w:kern w:val="0"/>
                <w:fitText w:val="1200" w:id="1"/>
              </w:rPr>
              <w:t>量</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w:t>
            </w:r>
            <w:r>
              <w:rPr>
                <w:rFonts w:hint="eastAsia" w:ascii="HG丸ｺﾞｼｯｸM-PRO" w:hAnsi="HG丸ｺﾞｼｯｸM-PRO"/>
              </w:rPr>
              <w:t>4</w:t>
            </w:r>
            <w:r>
              <w:rPr>
                <w:rFonts w:hint="eastAsia" w:ascii="HG丸ｺﾞｼｯｸM-PRO" w:hAnsi="HG丸ｺﾞｼｯｸM-PRO"/>
              </w:rPr>
              <w:t>４</w:t>
            </w:r>
            <w:r>
              <w:rPr>
                <w:rFonts w:hint="eastAsia" w:ascii="HG丸ｺﾞｼｯｸM-PRO" w:hAnsi="HG丸ｺﾞｼｯｸM-PRO"/>
              </w:rPr>
              <w:t>,000</w:t>
            </w:r>
            <w:r>
              <w:rPr>
                <w:rFonts w:hint="eastAsia" w:ascii="HG丸ｺﾞｼｯｸM-PRO" w:hAnsi="HG丸ｺﾞｼｯｸM-PRO"/>
              </w:rPr>
              <w:t>リットル</w:t>
            </w:r>
          </w:p>
        </w:tc>
      </w:tr>
      <w:tr>
        <w:trPr/>
        <w:tc>
          <w:tcPr>
            <w:tcW w:w="1920" w:type="dxa"/>
            <w:vAlign w:val="center"/>
          </w:tcPr>
          <w:p>
            <w:pPr>
              <w:pStyle w:val="0"/>
              <w:jc w:val="left"/>
              <w:rPr>
                <w:rFonts w:hint="default" w:ascii="HG丸ｺﾞｼｯｸM-PRO" w:hAnsi="HG丸ｺﾞｼｯｸM-PRO"/>
              </w:rPr>
            </w:pPr>
            <w:r>
              <w:rPr>
                <w:rFonts w:hint="eastAsia" w:ascii="HG丸ｺﾞｼｯｸM-PRO" w:hAnsi="HG丸ｺﾞｼｯｸM-PRO"/>
              </w:rPr>
              <w:t>４　単</w:t>
            </w:r>
            <w:r>
              <w:rPr>
                <w:rFonts w:hint="eastAsia" w:ascii="HG丸ｺﾞｼｯｸM-PRO" w:hAnsi="HG丸ｺﾞｼｯｸM-PRO"/>
              </w:rPr>
              <w:t xml:space="preserve"> </w:t>
            </w:r>
            <w:r>
              <w:rPr>
                <w:rFonts w:hint="eastAsia" w:ascii="HG丸ｺﾞｼｯｸM-PRO" w:hAnsi="HG丸ｺﾞｼｯｸM-PRO"/>
              </w:rPr>
              <w:t>価</w:t>
            </w:r>
            <w:r>
              <w:rPr>
                <w:rFonts w:hint="eastAsia" w:ascii="HG丸ｺﾞｼｯｸM-PRO" w:hAnsi="HG丸ｺﾞｼｯｸM-PRO"/>
              </w:rPr>
              <w:t xml:space="preserve"> </w:t>
            </w:r>
            <w:r>
              <w:rPr>
                <w:rFonts w:hint="eastAsia" w:ascii="HG丸ｺﾞｼｯｸM-PRO" w:hAnsi="HG丸ｺﾞｼｯｸM-PRO"/>
              </w:rPr>
              <w:t>金</w:t>
            </w:r>
            <w:r>
              <w:rPr>
                <w:rFonts w:hint="eastAsia" w:ascii="HG丸ｺﾞｼｯｸM-PRO" w:hAnsi="HG丸ｺﾞｼｯｸM-PRO"/>
              </w:rPr>
              <w:t xml:space="preserve"> </w:t>
            </w:r>
            <w:r>
              <w:rPr>
                <w:rFonts w:hint="eastAsia" w:ascii="HG丸ｺﾞｼｯｸM-PRO" w:hAnsi="HG丸ｺﾞｼｯｸM-PRO"/>
              </w:rPr>
              <w:t>額</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金　　　　　　　　円（消費税及び地方消費税相当額を含む。）</w:t>
            </w:r>
          </w:p>
        </w:tc>
      </w:tr>
      <w:tr>
        <w:trPr/>
        <w:tc>
          <w:tcPr>
            <w:tcW w:w="1920" w:type="dxa"/>
            <w:vAlign w:val="center"/>
          </w:tcPr>
          <w:p>
            <w:pPr>
              <w:pStyle w:val="0"/>
              <w:rPr>
                <w:rFonts w:hint="default" w:ascii="HG丸ｺﾞｼｯｸM-PRO" w:hAnsi="HG丸ｺﾞｼｯｸM-PRO"/>
              </w:rPr>
            </w:pPr>
            <w:r>
              <w:rPr>
                <w:rFonts w:hint="eastAsia" w:ascii="HG丸ｺﾞｼｯｸM-PRO" w:hAnsi="HG丸ｺﾞｼｯｸM-PRO"/>
              </w:rPr>
              <w:t>５　契</w:t>
            </w:r>
            <w:r>
              <w:rPr>
                <w:rFonts w:hint="eastAsia" w:ascii="HG丸ｺﾞｼｯｸM-PRO" w:hAnsi="HG丸ｺﾞｼｯｸM-PRO"/>
              </w:rPr>
              <w:t xml:space="preserve"> </w:t>
            </w:r>
            <w:r>
              <w:rPr>
                <w:rFonts w:hint="eastAsia" w:ascii="HG丸ｺﾞｼｯｸM-PRO" w:hAnsi="HG丸ｺﾞｼｯｸM-PRO"/>
              </w:rPr>
              <w:t>約</w:t>
            </w:r>
            <w:r>
              <w:rPr>
                <w:rFonts w:hint="eastAsia" w:ascii="HG丸ｺﾞｼｯｸM-PRO" w:hAnsi="HG丸ｺﾞｼｯｸM-PRO"/>
              </w:rPr>
              <w:t xml:space="preserve"> </w:t>
            </w:r>
            <w:r>
              <w:rPr>
                <w:rFonts w:hint="eastAsia" w:ascii="HG丸ｺﾞｼｯｸM-PRO" w:hAnsi="HG丸ｺﾞｼｯｸM-PRO"/>
              </w:rPr>
              <w:t>期</w:t>
            </w:r>
            <w:r>
              <w:rPr>
                <w:rFonts w:hint="eastAsia" w:ascii="HG丸ｺﾞｼｯｸM-PRO" w:hAnsi="HG丸ｺﾞｼｯｸM-PRO"/>
              </w:rPr>
              <w:t xml:space="preserve"> </w:t>
            </w:r>
            <w:r>
              <w:rPr>
                <w:rFonts w:hint="eastAsia" w:ascii="HG丸ｺﾞｼｯｸM-PRO" w:hAnsi="HG丸ｺﾞｼｯｸM-PRO"/>
              </w:rPr>
              <w:t>間</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令和８年４月１日から　　令和９年３月</w:t>
            </w:r>
            <w:r>
              <w:rPr>
                <w:rFonts w:hint="eastAsia" w:ascii="HG丸ｺﾞｼｯｸM-PRO" w:hAnsi="HG丸ｺﾞｼｯｸM-PRO"/>
              </w:rPr>
              <w:t>31</w:t>
            </w:r>
            <w:r>
              <w:rPr>
                <w:rFonts w:hint="eastAsia" w:ascii="HG丸ｺﾞｼｯｸM-PRO" w:hAnsi="HG丸ｺﾞｼｯｸM-PRO"/>
              </w:rPr>
              <w:t>日まで</w:t>
            </w:r>
          </w:p>
        </w:tc>
      </w:tr>
      <w:tr>
        <w:trPr/>
        <w:tc>
          <w:tcPr>
            <w:tcW w:w="1920" w:type="dxa"/>
            <w:vAlign w:val="center"/>
          </w:tcPr>
          <w:p>
            <w:pPr>
              <w:pStyle w:val="0"/>
              <w:rPr>
                <w:rFonts w:hint="default" w:ascii="HG丸ｺﾞｼｯｸM-PRO" w:hAnsi="HG丸ｺﾞｼｯｸM-PRO"/>
              </w:rPr>
            </w:pPr>
            <w:r>
              <w:rPr>
                <w:rFonts w:hint="eastAsia" w:ascii="HG丸ｺﾞｼｯｸM-PRO" w:hAnsi="HG丸ｺﾞｼｯｸM-PRO"/>
              </w:rPr>
              <w:t>６　</w:t>
            </w:r>
            <w:r>
              <w:rPr>
                <w:rFonts w:hint="eastAsia" w:ascii="HG丸ｺﾞｼｯｸM-PRO" w:hAnsi="HG丸ｺﾞｼｯｸM-PRO"/>
                <w:spacing w:val="58"/>
                <w:kern w:val="0"/>
              </w:rPr>
              <w:t>納入場</w:t>
            </w:r>
            <w:r>
              <w:rPr>
                <w:rFonts w:hint="eastAsia" w:ascii="HG丸ｺﾞｼｯｸM-PRO" w:hAnsi="HG丸ｺﾞｼｯｸM-PRO"/>
                <w:spacing w:val="1"/>
                <w:kern w:val="0"/>
              </w:rPr>
              <w:t>所</w:t>
            </w:r>
          </w:p>
        </w:tc>
        <w:tc>
          <w:tcPr>
            <w:tcW w:w="6945" w:type="dxa"/>
            <w:vAlign w:val="center"/>
          </w:tcPr>
          <w:p>
            <w:pPr>
              <w:pStyle w:val="0"/>
              <w:rPr>
                <w:rFonts w:hint="default" w:ascii="HG丸ｺﾞｼｯｸM-PRO" w:hAnsi="HG丸ｺﾞｼｯｸM-PRO"/>
              </w:rPr>
            </w:pPr>
            <w:r>
              <w:rPr>
                <w:rFonts w:hint="eastAsia" w:ascii="HG丸ｺﾞｼｯｸM-PRO" w:hAnsi="HG丸ｺﾞｼｯｸM-PRO"/>
              </w:rPr>
              <w:t>　広島県立広島中学校・広島高等学校</w:t>
            </w:r>
          </w:p>
        </w:tc>
      </w:tr>
    </w:tbl>
    <w:p>
      <w:pPr>
        <w:pStyle w:val="0"/>
        <w:spacing w:line="300" w:lineRule="exact"/>
        <w:rPr>
          <w:rFonts w:hint="default" w:ascii="HG丸ｺﾞｼｯｸM-PRO" w:hAnsi="HG丸ｺﾞｼｯｸM-PRO"/>
        </w:rPr>
      </w:pPr>
      <w:r>
        <w:rPr>
          <w:rFonts w:hint="eastAsia" w:ascii="HG丸ｺﾞｼｯｸM-PRO" w:hAnsi="HG丸ｺﾞｼｯｸM-PRO"/>
        </w:rPr>
        <w:t>　（契約単価）</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第２条　契約単価は、契約期間中原則として変更しないものとする。ただし、市場価格の著しい変動があった場合には、甲と乙が協議して契約単価を改定する。（特約事項、別紙のとおり）</w:t>
      </w:r>
    </w:p>
    <w:p>
      <w:pPr>
        <w:pStyle w:val="0"/>
        <w:spacing w:line="300" w:lineRule="exact"/>
        <w:rPr>
          <w:rFonts w:hint="default" w:ascii="HG丸ｺﾞｼｯｸM-PRO" w:hAnsi="HG丸ｺﾞｼｯｸM-PRO"/>
        </w:rPr>
      </w:pPr>
      <w:r>
        <w:rPr>
          <w:rFonts w:hint="eastAsia" w:ascii="HG丸ｺﾞｼｯｸM-PRO" w:hAnsi="HG丸ｺﾞｼｯｸM-PRO"/>
        </w:rPr>
        <w:t>　（契約保証金）</w:t>
      </w:r>
    </w:p>
    <w:p>
      <w:pPr>
        <w:pStyle w:val="0"/>
        <w:spacing w:line="300" w:lineRule="exact"/>
        <w:rPr>
          <w:rFonts w:hint="default" w:ascii="HG丸ｺﾞｼｯｸM-PRO" w:hAnsi="HG丸ｺﾞｼｯｸM-PRO"/>
        </w:rPr>
      </w:pPr>
      <w:r>
        <w:rPr>
          <w:rFonts w:hint="eastAsia" w:ascii="HG丸ｺﾞｼｯｸM-PRO" w:hAnsi="HG丸ｺﾞｼｯｸM-PRO"/>
        </w:rPr>
        <w:t>第３条　甲は、乙に対して契約保証金の納付を免除する。</w:t>
      </w:r>
    </w:p>
    <w:p>
      <w:pPr>
        <w:pStyle w:val="0"/>
        <w:spacing w:line="300" w:lineRule="exact"/>
        <w:rPr>
          <w:rFonts w:hint="default" w:ascii="HG丸ｺﾞｼｯｸM-PRO" w:hAnsi="HG丸ｺﾞｼｯｸM-PRO"/>
        </w:rPr>
      </w:pPr>
      <w:r>
        <w:rPr>
          <w:rFonts w:hint="eastAsia" w:ascii="HG丸ｺﾞｼｯｸM-PRO" w:hAnsi="HG丸ｺﾞｼｯｸM-PRO"/>
        </w:rPr>
        <w:t>　（納入の指示等）</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第４条　甲は、乙に対して物品の納入を指示するときは、別紙物品納入指示書をもって行うものとする。</w:t>
      </w:r>
    </w:p>
    <w:p>
      <w:pPr>
        <w:pStyle w:val="0"/>
        <w:spacing w:line="300" w:lineRule="exact"/>
        <w:rPr>
          <w:rFonts w:hint="default" w:ascii="HG丸ｺﾞｼｯｸM-PRO" w:hAnsi="HG丸ｺﾞｼｯｸM-PRO"/>
        </w:rPr>
      </w:pPr>
      <w:r>
        <w:rPr>
          <w:rFonts w:hint="eastAsia" w:ascii="HG丸ｺﾞｼｯｸM-PRO" w:hAnsi="HG丸ｺﾞｼｯｸM-PRO"/>
        </w:rPr>
        <w:t>２　乙は、前項の物品納入指示書に記載された数量をその期限までに甲に納入するものとする。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（損害の責任）</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第５条　前条の場合で、乙が物品納入指示書によらず納入したときは、甲は、乙に対してその損害に対する責を負わない。また、物品納入指示書の記載事項を訂正した場合も同様とする。</w:t>
      </w:r>
    </w:p>
    <w:p>
      <w:pPr>
        <w:pStyle w:val="0"/>
        <w:spacing w:line="300" w:lineRule="exact"/>
        <w:rPr>
          <w:rFonts w:hint="default" w:ascii="HG丸ｺﾞｼｯｸM-PRO" w:hAnsi="HG丸ｺﾞｼｯｸM-PRO"/>
        </w:rPr>
      </w:pPr>
      <w:r>
        <w:rPr>
          <w:rFonts w:hint="eastAsia" w:ascii="HG丸ｺﾞｼｯｸM-PRO" w:hAnsi="HG丸ｺﾞｼｯｸM-PRO"/>
        </w:rPr>
        <w:t>　（納品、検査等）</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第６条　乙は、第４条第１項の指示により物品を納入したときは、注油票により、その旨を甲に届け出るものとする。</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２　甲は、前項の届出があったときは、納入物品が種類、規格又は数量に関してこの契約の内容に適合しているかについて速やかに検査を行うものとする。この場合、納入物品が検査に合格しないときは、乙は、その負担で現品を取り替えるか、又は甲の指示に従うものとする。</w:t>
      </w: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（試験検査）</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第７条　前条の場合、甲が必要と認めるときは、乙の立ち会いのもとに納入しようとする物品から必要量を採取し、規格試験に付することができるものとし、これに要する一切の費用は乙の負担とする。</w:t>
      </w:r>
    </w:p>
    <w:p>
      <w:pPr>
        <w:pStyle w:val="0"/>
        <w:spacing w:line="300" w:lineRule="exact"/>
        <w:rPr>
          <w:rFonts w:hint="default" w:ascii="HG丸ｺﾞｼｯｸM-PRO" w:hAnsi="HG丸ｺﾞｼｯｸM-PRO"/>
        </w:rPr>
      </w:pPr>
      <w:r>
        <w:rPr>
          <w:rFonts w:hint="eastAsia" w:ascii="HG丸ｺﾞｼｯｸM-PRO" w:hAnsi="HG丸ｺﾞｼｯｸM-PRO"/>
        </w:rPr>
        <w:t>　（権利義務の譲渡などの禁止）</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第８条　乙は、第三者にこの契約の履行を委託し、又は契約による権利を譲渡し、若しくは義務を引き受けさせてはならない。ただし、甲の承諾がある場合については、この限りでない。</w:t>
      </w:r>
    </w:p>
    <w:p>
      <w:pPr>
        <w:pStyle w:val="0"/>
        <w:ind w:left="220" w:hanging="220" w:hangingChars="100"/>
        <w:rPr>
          <w:rFonts w:hint="default" w:ascii="HG丸ｺﾞｼｯｸM-PRO" w:hAnsi="HG丸ｺﾞｼｯｸM-PRO"/>
        </w:rPr>
      </w:pPr>
      <w:r>
        <w:rPr>
          <w:rFonts w:hint="eastAsia" w:ascii="HG丸ｺﾞｼｯｸM-PRO" w:hAnsi="HG丸ｺﾞｼｯｸM-PRO"/>
        </w:rPr>
        <w:t>　（催告解除）</w:t>
      </w:r>
    </w:p>
    <w:p>
      <w:pPr>
        <w:pStyle w:val="0"/>
        <w:ind w:left="220" w:hanging="220" w:hangingChars="100"/>
        <w:rPr>
          <w:rFonts w:hint="default" w:ascii="HG丸ｺﾞｼｯｸM-PRO" w:hAnsi="HG丸ｺﾞｼｯｸM-PRO"/>
        </w:rPr>
      </w:pPr>
      <w:r>
        <w:rPr>
          <w:rFonts w:hint="eastAsia" w:ascii="HG丸ｺﾞｼｯｸM-PRO" w:hAnsi="HG丸ｺﾞｼｯｸM-PRO"/>
        </w:rPr>
        <w:t>第９条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u w:val="single" w:color="auto"/>
        </w:rPr>
      </w:pPr>
      <w:r>
        <w:rPr>
          <w:rFonts w:hint="eastAsia" w:ascii="HG丸ｺﾞｼｯｸM-PRO" w:hAnsi="HG丸ｺﾞｼｯｸM-PRO"/>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rPr>
      </w:pPr>
    </w:p>
    <w:p>
      <w:pPr>
        <w:pStyle w:val="0"/>
        <w:ind w:left="220" w:hanging="220" w:hangingChars="100"/>
        <w:rPr>
          <w:rFonts w:hint="default" w:ascii="HG丸ｺﾞｼｯｸM-PRO" w:hAnsi="HG丸ｺﾞｼｯｸM-PRO"/>
          <w:u w:val="single" w:color="auto"/>
        </w:rPr>
      </w:pPr>
      <w:r>
        <w:rPr>
          <w:rFonts w:hint="eastAsia" w:ascii="HG丸ｺﾞｼｯｸM-PRO" w:hAnsi="HG丸ｺﾞｼｯｸM-PRO"/>
        </w:rPr>
        <w:t>３　第１項の規定により契約が解除された場合においては、乙は、第１条表中の「３　予定数量」に記載の数量に「４　単価金額」に記載の金額を掛けた額の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20" w:hanging="220" w:hangingChars="100"/>
        <w:rPr>
          <w:rFonts w:hint="default" w:ascii="HG丸ｺﾞｼｯｸM-PRO" w:hAnsi="HG丸ｺﾞｼｯｸM-PRO"/>
        </w:rPr>
      </w:pPr>
      <w:r>
        <w:rPr>
          <w:rFonts w:hint="eastAsia" w:ascii="HG丸ｺﾞｼｯｸM-PRO" w:hAnsi="HG丸ｺﾞｼｯｸM-PRO"/>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５　甲は、本条各項の規定により本契約を解除した場合、それにより乙に損害が生じても、何ら賠償責任を負わない。</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（無催告解除）</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10</w:t>
      </w:r>
      <w:r>
        <w:rPr>
          <w:rFonts w:hint="eastAsia" w:ascii="HG丸ｺﾞｼｯｸM-PRO" w:hAnsi="HG丸ｺﾞｼｯｸM-PRO"/>
          <w:color w:val="000000"/>
        </w:rPr>
        <w:t>条　甲は、次の各号のいずれかに該当するときは、前条の催告をすることなく、直ちにこの契約の全部を解除することができる。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債務の全部が履行不能であるとき。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乙がその債務の全部の履行を拒絶する意思を明確に表示したとき。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(3)</w:t>
      </w:r>
      <w:r>
        <w:rPr>
          <w:rFonts w:hint="eastAsia" w:ascii="HG丸ｺﾞｼｯｸM-PRO" w:hAnsi="HG丸ｺﾞｼｯｸM-PRO"/>
          <w:color w:val="000000"/>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(4)</w:t>
      </w:r>
      <w:r>
        <w:rPr>
          <w:rFonts w:hint="eastAsia" w:ascii="HG丸ｺﾞｼｯｸM-PRO" w:hAnsi="HG丸ｺﾞｼｯｸM-PRO"/>
          <w:color w:val="000000"/>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(5)</w:t>
      </w:r>
      <w:r>
        <w:rPr>
          <w:rFonts w:hint="eastAsia" w:ascii="HG丸ｺﾞｼｯｸM-PRO" w:hAnsi="HG丸ｺﾞｼｯｸM-PRO"/>
          <w:color w:val="000000"/>
        </w:rPr>
        <w:t>　前各号に掲げる場合のほか、乙がその債務を履行せず、甲が前条の催告をしても契約をした目的を達するのに足りる履行がされる見込みがないことが明らかであるとき。</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甲は、次の各号のいずれかに該当するときは、前条の催告をすることなく、直ちにこの契約の一部を解除することができる。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債務の一部が履行不能であるとき。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乙がその債務の一部の履行を拒絶する意思を明確に表示したとき。</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債務の不履行が甲の責めに帰すべき事由によるものであるときは、甲は、前２項の規定による契約の解除をすることができない。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４　前条第３項から第５項までの規定は、第１項及び第２項の規定により契約を解除した場合について準用する。</w:t>
      </w:r>
    </w:p>
    <w:p>
      <w:pPr>
        <w:pStyle w:val="0"/>
        <w:ind w:left="330" w:hanging="330" w:hangingChars="15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11</w:t>
      </w:r>
      <w:r>
        <w:rPr>
          <w:rFonts w:hint="eastAsia" w:ascii="HG丸ｺﾞｼｯｸM-PRO" w:hAnsi="HG丸ｺﾞｼｯｸM-PRO"/>
          <w:color w:val="000000"/>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乙が、私的独占の禁止及び公正取引の確保に関する法律（昭和</w:t>
      </w:r>
      <w:r>
        <w:rPr>
          <w:rFonts w:hint="eastAsia" w:ascii="HG丸ｺﾞｼｯｸM-PRO" w:hAnsi="HG丸ｺﾞｼｯｸM-PRO"/>
          <w:color w:val="000000"/>
        </w:rPr>
        <w:t>22</w:t>
      </w:r>
      <w:r>
        <w:rPr>
          <w:rFonts w:hint="eastAsia" w:ascii="HG丸ｺﾞｼｯｸM-PRO" w:hAnsi="HG丸ｺﾞｼｯｸM-PRO"/>
          <w:color w:val="000000"/>
        </w:rPr>
        <w:t>年法律第</w:t>
      </w:r>
      <w:r>
        <w:rPr>
          <w:rFonts w:hint="eastAsia" w:ascii="HG丸ｺﾞｼｯｸM-PRO" w:hAnsi="HG丸ｺﾞｼｯｸM-PRO"/>
          <w:color w:val="000000"/>
        </w:rPr>
        <w:t>54</w:t>
      </w:r>
      <w:r>
        <w:rPr>
          <w:rFonts w:hint="eastAsia" w:ascii="HG丸ｺﾞｼｯｸM-PRO" w:hAnsi="HG丸ｺﾞｼｯｸM-PRO"/>
          <w:color w:val="000000"/>
        </w:rPr>
        <w:t>号。以下「独占禁止法」という。）第</w:t>
      </w:r>
      <w:r>
        <w:rPr>
          <w:rFonts w:hint="eastAsia" w:ascii="HG丸ｺﾞｼｯｸM-PRO" w:hAnsi="HG丸ｺﾞｼｯｸM-PRO"/>
          <w:color w:val="000000"/>
        </w:rPr>
        <w:t>49</w:t>
      </w:r>
      <w:r>
        <w:rPr>
          <w:rFonts w:hint="eastAsia" w:ascii="HG丸ｺﾞｼｯｸM-PRO" w:hAnsi="HG丸ｺﾞｼｯｸM-PRO"/>
          <w:color w:val="000000"/>
        </w:rPr>
        <w:t>条に規定する排除措置命令（以下この号及び次項において単に「排除措置命令」という。）を受け、当該排除措置命令が確定したとき。</w:t>
      </w:r>
    </w:p>
    <w:p>
      <w:pPr>
        <w:pStyle w:val="0"/>
        <w:ind w:left="550" w:leftChars="100" w:hanging="330" w:hangingChars="15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乙が、独占禁止法第</w:t>
      </w:r>
      <w:r>
        <w:rPr>
          <w:rFonts w:hint="eastAsia" w:ascii="HG丸ｺﾞｼｯｸM-PRO" w:hAnsi="HG丸ｺﾞｼｯｸM-PRO"/>
          <w:color w:val="000000"/>
        </w:rPr>
        <w:t>62</w:t>
      </w:r>
      <w:r>
        <w:rPr>
          <w:rFonts w:hint="eastAsia" w:ascii="HG丸ｺﾞｼｯｸM-PRO" w:hAnsi="HG丸ｺﾞｼｯｸM-PRO"/>
          <w:color w:val="000000"/>
        </w:rPr>
        <w:t>条第１項に規定する納付命令（以下この号及び次項において単に「納付命令」という。）を受け、当該納付命令が確定したとき。</w:t>
      </w:r>
    </w:p>
    <w:p>
      <w:pPr>
        <w:pStyle w:val="0"/>
        <w:ind w:left="550" w:leftChars="100" w:hanging="330" w:hangingChars="150"/>
        <w:rPr>
          <w:rFonts w:hint="default" w:ascii="HG丸ｺﾞｼｯｸM-PRO" w:hAnsi="HG丸ｺﾞｼｯｸM-PRO"/>
          <w:color w:val="000000"/>
        </w:rPr>
      </w:pPr>
      <w:r>
        <w:rPr>
          <w:rFonts w:hint="eastAsia" w:ascii="HG丸ｺﾞｼｯｸM-PRO" w:hAnsi="HG丸ｺﾞｼｯｸM-PRO"/>
          <w:color w:val="000000"/>
        </w:rPr>
        <w:t>(3)</w:t>
      </w:r>
      <w:r>
        <w:rPr>
          <w:rFonts w:hint="eastAsia" w:ascii="HG丸ｺﾞｼｯｸM-PRO" w:hAnsi="HG丸ｺﾞｼｯｸM-PRO"/>
          <w:color w:val="000000"/>
        </w:rPr>
        <w:t>　乙（乙が法人の場合にあっては、その役員又は使用人を含む。）が、刑法（明治</w:t>
      </w:r>
      <w:r>
        <w:rPr>
          <w:rFonts w:hint="eastAsia" w:ascii="HG丸ｺﾞｼｯｸM-PRO" w:hAnsi="HG丸ｺﾞｼｯｸM-PRO"/>
          <w:color w:val="000000"/>
        </w:rPr>
        <w:t>40</w:t>
      </w:r>
      <w:r>
        <w:rPr>
          <w:rFonts w:hint="eastAsia" w:ascii="HG丸ｺﾞｼｯｸM-PRO" w:hAnsi="HG丸ｺﾞｼｯｸM-PRO"/>
          <w:color w:val="000000"/>
        </w:rPr>
        <w:t>年法律第</w:t>
      </w:r>
      <w:r>
        <w:rPr>
          <w:rFonts w:hint="eastAsia" w:ascii="HG丸ｺﾞｼｯｸM-PRO" w:hAnsi="HG丸ｺﾞｼｯｸM-PRO"/>
          <w:color w:val="000000"/>
        </w:rPr>
        <w:t>45</w:t>
      </w:r>
      <w:r>
        <w:rPr>
          <w:rFonts w:hint="eastAsia" w:ascii="HG丸ｺﾞｼｯｸM-PRO" w:hAnsi="HG丸ｺﾞｼｯｸM-PRO"/>
          <w:color w:val="000000"/>
        </w:rPr>
        <w:t>号）第</w:t>
      </w:r>
      <w:r>
        <w:rPr>
          <w:rFonts w:hint="eastAsia" w:ascii="HG丸ｺﾞｼｯｸM-PRO" w:hAnsi="HG丸ｺﾞｼｯｸM-PRO"/>
          <w:color w:val="000000"/>
        </w:rPr>
        <w:t>96</w:t>
      </w:r>
      <w:r>
        <w:rPr>
          <w:rFonts w:hint="eastAsia" w:ascii="HG丸ｺﾞｼｯｸM-PRO" w:hAnsi="HG丸ｺﾞｼｯｸM-PRO"/>
          <w:color w:val="000000"/>
        </w:rPr>
        <w:t>条の６若しくは第</w:t>
      </w:r>
      <w:r>
        <w:rPr>
          <w:rFonts w:hint="eastAsia" w:ascii="HG丸ｺﾞｼｯｸM-PRO" w:hAnsi="HG丸ｺﾞｼｯｸM-PRO"/>
          <w:color w:val="000000"/>
        </w:rPr>
        <w:t>198</w:t>
      </w:r>
      <w:r>
        <w:rPr>
          <w:rFonts w:hint="eastAsia" w:ascii="HG丸ｺﾞｼｯｸM-PRO" w:hAnsi="HG丸ｺﾞｼｯｸM-PRO"/>
          <w:color w:val="000000"/>
        </w:rPr>
        <w:t>条又は独占禁止法第</w:t>
      </w:r>
      <w:r>
        <w:rPr>
          <w:rFonts w:hint="eastAsia" w:ascii="HG丸ｺﾞｼｯｸM-PRO" w:hAnsi="HG丸ｺﾞｼｯｸM-PRO"/>
          <w:color w:val="000000"/>
        </w:rPr>
        <w:t>89</w:t>
      </w:r>
      <w:r>
        <w:rPr>
          <w:rFonts w:hint="eastAsia" w:ascii="HG丸ｺﾞｼｯｸM-PRO" w:hAnsi="HG丸ｺﾞｼｯｸM-PRO"/>
          <w:color w:val="000000"/>
        </w:rPr>
        <w:t>条第１項若しくは第</w:t>
      </w:r>
      <w:r>
        <w:rPr>
          <w:rFonts w:hint="eastAsia" w:ascii="HG丸ｺﾞｼｯｸM-PRO" w:hAnsi="HG丸ｺﾞｼｯｸM-PRO"/>
          <w:color w:val="000000"/>
        </w:rPr>
        <w:t>95</w:t>
      </w:r>
      <w:r>
        <w:rPr>
          <w:rFonts w:hint="eastAsia" w:ascii="HG丸ｺﾞｼｯｸM-PRO" w:hAnsi="HG丸ｺﾞｼｯｸM-PRO"/>
          <w:color w:val="000000"/>
        </w:rPr>
        <w:t>条第１項第１号の規定による刑に処せられたとき。</w:t>
      </w:r>
    </w:p>
    <w:p>
      <w:pPr>
        <w:pStyle w:val="0"/>
        <w:ind w:left="220" w:hanging="220" w:hangingChars="100"/>
        <w:rPr>
          <w:rFonts w:hint="default" w:ascii="HG丸ｺﾞｼｯｸM-PRO" w:hAnsi="HG丸ｺﾞｼｯｸM-PRO"/>
          <w:color w:val="000000"/>
        </w:rPr>
      </w:pP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第９条第３項から第５項までの規定は、前２項の規定により契約を解除した場合について準用する。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12</w:t>
      </w:r>
      <w:r>
        <w:rPr>
          <w:rFonts w:hint="eastAsia" w:ascii="HG丸ｺﾞｼｯｸM-PRO" w:hAnsi="HG丸ｺﾞｼｯｸM-PRO"/>
          <w:color w:val="000000"/>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(4)</w:t>
      </w:r>
      <w:r>
        <w:rPr>
          <w:rFonts w:hint="eastAsia" w:ascii="HG丸ｺﾞｼｯｸM-PRO" w:hAnsi="HG丸ｺﾞｼｯｸM-PRO"/>
        </w:rPr>
        <w:t>　前３号のほか、乙の役員等が、暴力団又は暴力団関係者と社会的に非難されるべき関係を有していると認められるとき。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(5)</w:t>
      </w:r>
      <w:r>
        <w:rPr>
          <w:rFonts w:hint="eastAsia" w:ascii="HG丸ｺﾞｼｯｸM-PRO" w:hAnsi="HG丸ｺﾞｼｯｸM-PRO"/>
          <w:color w:val="000000"/>
        </w:rPr>
        <w:t>　乙の経営に暴力団関係者の実質的な関与があると認められるとき。</w:t>
      </w:r>
    </w:p>
    <w:p>
      <w:pPr>
        <w:pStyle w:val="0"/>
        <w:ind w:left="550" w:leftChars="100" w:hanging="330" w:hangingChars="150"/>
        <w:rPr>
          <w:rFonts w:hint="default" w:ascii="HG丸ｺﾞｼｯｸM-PRO" w:hAnsi="HG丸ｺﾞｼｯｸM-PRO"/>
          <w:color w:val="000000"/>
        </w:rPr>
      </w:pPr>
      <w:r>
        <w:rPr>
          <w:rFonts w:hint="eastAsia" w:ascii="HG丸ｺﾞｼｯｸM-PRO" w:hAnsi="HG丸ｺﾞｼｯｸM-PRO"/>
          <w:color w:val="000000"/>
        </w:rPr>
        <w:t>(6)</w:t>
      </w:r>
      <w:r>
        <w:rPr>
          <w:rFonts w:hint="eastAsia" w:ascii="HG丸ｺﾞｼｯｸM-PRO" w:hAnsi="HG丸ｺﾞｼｯｸM-PRO"/>
          <w:color w:val="000000"/>
        </w:rPr>
        <w:t>　再委託契約その他の契約に当たり、その相手方が前各号のいずれかに該当することを知りながら、当該者と契約を締結したと認められるとき。</w:t>
      </w:r>
    </w:p>
    <w:p>
      <w:pPr>
        <w:pStyle w:val="0"/>
        <w:ind w:left="550" w:leftChars="100" w:hanging="330" w:hangingChars="150"/>
        <w:rPr>
          <w:rFonts w:hint="default" w:ascii="HG丸ｺﾞｼｯｸM-PRO" w:hAnsi="HG丸ｺﾞｼｯｸM-PRO"/>
          <w:color w:val="000000"/>
        </w:rPr>
      </w:pPr>
      <w:r>
        <w:rPr>
          <w:rFonts w:hint="eastAsia" w:ascii="HG丸ｺﾞｼｯｸM-PRO" w:hAnsi="HG丸ｺﾞｼｯｸM-PRO"/>
          <w:color w:val="000000"/>
        </w:rPr>
        <w:t>(7)</w:t>
      </w:r>
      <w:r>
        <w:rPr>
          <w:rFonts w:hint="eastAsia" w:ascii="HG丸ｺﾞｼｯｸM-PRO" w:hAnsi="HG丸ｺﾞｼｯｸM-PRO"/>
          <w:color w:val="000000"/>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第９条第３項から第５項までの規定は、前項の規定により契約を解除した場合について準用する。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　（暴力団等からの不当介入の排除）</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13</w:t>
      </w:r>
      <w:r>
        <w:rPr>
          <w:rFonts w:hint="eastAsia" w:ascii="HG丸ｺﾞｼｯｸM-PRO" w:hAnsi="HG丸ｺﾞｼｯｸM-PRO"/>
          <w:color w:val="000000"/>
        </w:rPr>
        <w:t>条　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乙は、暴力団等から不当介入による被害を受けた場合は、その旨を直ちに甲へ報告するとともに、被害届を速やかに所轄の警察署に提出しなければならない。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　（損害金の予定）</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14</w:t>
      </w:r>
      <w:r>
        <w:rPr>
          <w:rFonts w:hint="eastAsia" w:ascii="HG丸ｺﾞｼｯｸM-PRO" w:hAnsi="HG丸ｺﾞｼｯｸM-PRO"/>
          <w:color w:val="000000"/>
        </w:rPr>
        <w:t>条　甲は、第</w:t>
      </w:r>
      <w:r>
        <w:rPr>
          <w:rFonts w:hint="eastAsia" w:ascii="HG丸ｺﾞｼｯｸM-PRO" w:hAnsi="HG丸ｺﾞｼｯｸM-PRO"/>
          <w:color w:val="000000"/>
        </w:rPr>
        <w:t>11</w:t>
      </w:r>
      <w:r>
        <w:rPr>
          <w:rFonts w:hint="eastAsia" w:ascii="HG丸ｺﾞｼｯｸM-PRO" w:hAnsi="HG丸ｺﾞｼｯｸM-PRO"/>
          <w:color w:val="000000"/>
        </w:rPr>
        <w:t>条第１項及び第２項の規定により契約を解除することができる場合においては、契約を解除するか否かにかかわらず、第１条表中の「３　予定数量」に記載の数量に「４単価金額」に記載の金額を掛けた額の</w:t>
      </w:r>
      <w:r>
        <w:rPr>
          <w:rFonts w:hint="eastAsia" w:ascii="HG丸ｺﾞｼｯｸM-PRO" w:hAnsi="HG丸ｺﾞｼｯｸM-PRO"/>
          <w:color w:val="000000"/>
        </w:rPr>
        <w:t>10</w:t>
      </w:r>
      <w:r>
        <w:rPr>
          <w:rFonts w:hint="eastAsia" w:ascii="HG丸ｺﾞｼｯｸM-PRO" w:hAnsi="HG丸ｺﾞｼｯｸM-PRO"/>
          <w:color w:val="000000"/>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前２項の規定は、第６条第２項の規定による検査に合格した後も適用されるものとする。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（代金の請求）</w:t>
      </w:r>
    </w:p>
    <w:p>
      <w:pPr>
        <w:pStyle w:val="0"/>
        <w:ind w:left="312" w:hanging="312" w:hangingChars="142"/>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15</w:t>
      </w:r>
      <w:r>
        <w:rPr>
          <w:rFonts w:hint="eastAsia" w:ascii="HG丸ｺﾞｼｯｸM-PRO" w:hAnsi="HG丸ｺﾞｼｯｸM-PRO"/>
          <w:color w:val="000000"/>
        </w:rPr>
        <w:t>条　乙は、月ごとにまとめて請求書を作成し、翌月１５日までに甲に提出するものとする。</w:t>
      </w:r>
    </w:p>
    <w:p>
      <w:pPr>
        <w:pStyle w:val="0"/>
        <w:ind w:left="312" w:hanging="312" w:hangingChars="142"/>
        <w:rPr>
          <w:rFonts w:hint="default" w:ascii="HG丸ｺﾞｼｯｸM-PRO" w:hAnsi="HG丸ｺﾞｼｯｸM-PRO"/>
          <w:color w:val="000000"/>
        </w:rPr>
      </w:pPr>
      <w:r>
        <w:rPr>
          <w:rFonts w:hint="eastAsia" w:ascii="HG丸ｺﾞｼｯｸM-PRO" w:hAnsi="HG丸ｺﾞｼｯｸM-PRO"/>
          <w:color w:val="000000"/>
        </w:rPr>
        <w:t>２　乙は、請求額に１円未満の端数があるときは、その端数を切り捨て、甲に請求するものとする。</w:t>
      </w:r>
    </w:p>
    <w:p>
      <w:pPr>
        <w:pStyle w:val="0"/>
        <w:rPr>
          <w:rFonts w:hint="default" w:ascii="HG丸ｺﾞｼｯｸM-PRO" w:hAnsi="HG丸ｺﾞｼｯｸM-PRO"/>
          <w:color w:val="000000"/>
        </w:rPr>
      </w:pPr>
      <w:r>
        <w:rPr>
          <w:rFonts w:hint="eastAsia" w:ascii="HG丸ｺﾞｼｯｸM-PRO" w:hAnsi="HG丸ｺﾞｼｯｸM-PRO"/>
          <w:color w:val="000000"/>
        </w:rPr>
        <w:t>　（代金の支払）</w:t>
      </w:r>
    </w:p>
    <w:p>
      <w:pPr>
        <w:pStyle w:val="0"/>
        <w:ind w:left="0" w:leftChars="0" w:firstLine="0" w:firstLineChars="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16</w:t>
      </w:r>
      <w:r>
        <w:rPr>
          <w:rFonts w:hint="eastAsia" w:ascii="HG丸ｺﾞｼｯｸM-PRO" w:hAnsi="HG丸ｺﾞｼｯｸM-PRO"/>
          <w:color w:val="000000"/>
        </w:rPr>
        <w:t>条　甲は、前条により乙から提出された適法な請求書を受理した日から３０日以内に代金を支払うものとする。</w:t>
      </w:r>
    </w:p>
    <w:p>
      <w:pPr>
        <w:pStyle w:val="0"/>
        <w:ind w:left="0" w:leftChars="0" w:firstLine="0" w:firstLineChars="0"/>
        <w:rPr>
          <w:rFonts w:hint="default" w:ascii="HG丸ｺﾞｼｯｸM-PRO" w:hAnsi="HG丸ｺﾞｼｯｸM-PRO"/>
          <w:color w:val="000000"/>
        </w:rPr>
      </w:pPr>
      <w:bookmarkStart w:id="0" w:name="_GoBack"/>
      <w:bookmarkEnd w:id="0"/>
      <w:r>
        <w:rPr>
          <w:rFonts w:hint="eastAsia" w:ascii="HG丸ｺﾞｼｯｸM-PRO" w:hAnsi="HG丸ｺﾞｼｯｸM-PRO"/>
          <w:color w:val="000000"/>
        </w:rPr>
        <w:t>２　甲は、前項の支払期限までに乙に代金を支払わないときは、甲は、乙に支払期限到来の日の翌日から支払をする日までの遅延日数１日に応じて、未払の代金につき年</w:t>
      </w:r>
      <w:r>
        <w:rPr>
          <w:rFonts w:hint="eastAsia" w:ascii="HG丸ｺﾞｼｯｸM-PRO" w:hAnsi="HG丸ｺﾞｼｯｸM-PRO"/>
        </w:rPr>
        <w:t>2.5</w:t>
      </w:r>
      <w:r>
        <w:rPr>
          <w:rFonts w:hint="eastAsia" w:ascii="HG丸ｺﾞｼｯｸM-PRO" w:hAnsi="HG丸ｺﾞｼｯｸM-PRO"/>
          <w:color w:val="000000"/>
        </w:rPr>
        <w:t>パーセント（算定対象の期間において適用される政府契約の支払遅延防止等に関する法律（昭和</w:t>
      </w:r>
      <w:r>
        <w:rPr>
          <w:rFonts w:hint="eastAsia" w:ascii="HG丸ｺﾞｼｯｸM-PRO" w:hAnsi="HG丸ｺﾞｼｯｸM-PRO"/>
          <w:color w:val="000000"/>
        </w:rPr>
        <w:t>24</w:t>
      </w:r>
      <w:r>
        <w:rPr>
          <w:rFonts w:hint="eastAsia" w:ascii="HG丸ｺﾞｼｯｸM-PRO" w:hAnsi="HG丸ｺﾞｼｯｸM-PRO"/>
          <w:color w:val="000000"/>
        </w:rPr>
        <w:t>年法律第</w:t>
      </w:r>
      <w:r>
        <w:rPr>
          <w:rFonts w:hint="eastAsia" w:ascii="HG丸ｺﾞｼｯｸM-PRO" w:hAnsi="HG丸ｺﾞｼｯｸM-PRO"/>
          <w:color w:val="000000"/>
        </w:rPr>
        <w:t>256</w:t>
      </w:r>
      <w:r>
        <w:rPr>
          <w:rFonts w:hint="eastAsia" w:ascii="HG丸ｺﾞｼｯｸM-PRO" w:hAnsi="HG丸ｺﾞｼｯｸM-PRO"/>
          <w:color w:val="000000"/>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（実地調査など）</w:t>
      </w:r>
    </w:p>
    <w:p>
      <w:pPr>
        <w:pStyle w:val="0"/>
        <w:ind w:left="220" w:hanging="220" w:hangingChars="100"/>
        <w:rPr>
          <w:rFonts w:hint="default" w:ascii="HG丸ｺﾞｼｯｸM-PRO" w:hAnsi="HG丸ｺﾞｼｯｸM-PRO"/>
        </w:rPr>
      </w:pPr>
      <w:r>
        <w:rPr>
          <w:rFonts w:hint="eastAsia" w:ascii="HG丸ｺﾞｼｯｸM-PRO" w:hAnsi="HG丸ｺﾞｼｯｸM-PRO"/>
          <w:color w:val="000000"/>
        </w:rPr>
        <w:t>第</w:t>
      </w:r>
      <w:r>
        <w:rPr>
          <w:rFonts w:hint="eastAsia" w:ascii="HG丸ｺﾞｼｯｸM-PRO" w:hAnsi="HG丸ｺﾞｼｯｸM-PRO"/>
          <w:color w:val="000000"/>
        </w:rPr>
        <w:t>17</w:t>
      </w:r>
      <w:r>
        <w:rPr>
          <w:rFonts w:hint="eastAsia" w:ascii="HG丸ｺﾞｼｯｸM-PRO" w:hAnsi="HG丸ｺﾞｼｯｸM-PRO"/>
          <w:color w:val="000000"/>
        </w:rPr>
        <w:t>条　甲が、この契約に係る甲の予算執行の適正を期するため必要があると認めた場合は、甲は、乙</w:t>
      </w:r>
      <w:r>
        <w:rPr>
          <w:rFonts w:hint="eastAsia" w:ascii="HG丸ｺﾞｼｯｸM-PRO" w:hAnsi="HG丸ｺﾞｼｯｸM-PRO"/>
        </w:rPr>
        <w:t>に対し、乙における当該契約の処理の状況に関する調査への協力を要請することができる。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２　乙は、前項の要請があった場合には、特別な理由がない限り要請に応じるものとし、この契約の終了後も、終了日から５年間は、同様とする。</w:t>
      </w:r>
    </w:p>
    <w:p>
      <w:pPr>
        <w:pStyle w:val="0"/>
        <w:rPr>
          <w:rFonts w:hint="default" w:ascii="HG丸ｺﾞｼｯｸM-PRO" w:hAnsi="HG丸ｺﾞｼｯｸM-PRO"/>
        </w:rPr>
      </w:pPr>
      <w:r>
        <w:rPr>
          <w:rFonts w:hint="eastAsia" w:ascii="HG丸ｺﾞｼｯｸM-PRO" w:hAnsi="HG丸ｺﾞｼｯｸM-PRO"/>
        </w:rPr>
        <w:t>　（疑義の解決）</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18</w:t>
      </w:r>
      <w:r>
        <w:rPr>
          <w:rFonts w:hint="eastAsia" w:ascii="HG丸ｺﾞｼｯｸM-PRO" w:hAnsi="HG丸ｺﾞｼｯｸM-PRO"/>
        </w:rPr>
        <w:t>条　この契約の履行について疑義が生じた場合又はこの契約に定めのない事項で必要がある場合は、甲及び乙が協議して定めるものとする。</w:t>
      </w:r>
    </w:p>
    <w:p>
      <w:pPr>
        <w:pStyle w:val="0"/>
        <w:ind w:firstLine="220" w:firstLineChars="100"/>
        <w:rPr>
          <w:rFonts w:hint="default" w:ascii="HG丸ｺﾞｼｯｸM-PRO" w:hAnsi="HG丸ｺﾞｼｯｸM-PRO"/>
        </w:rPr>
      </w:pPr>
      <w:r>
        <w:rPr>
          <w:rFonts w:hint="eastAsia" w:ascii="HG丸ｺﾞｼｯｸM-PRO" w:hAnsi="HG丸ｺﾞｼｯｸM-PRO"/>
        </w:rPr>
        <w:t>この契約の締結を証するため、契約書２通を作成し、甲と乙が記名・押印をして、各自その１通を所持する。</w:t>
      </w:r>
    </w:p>
    <w:p>
      <w:pPr>
        <w:pStyle w:val="0"/>
        <w:ind w:firstLine="220" w:firstLineChars="100"/>
        <w:rPr>
          <w:rFonts w:hint="default" w:ascii="HG丸ｺﾞｼｯｸM-PRO" w:hAnsi="HG丸ｺﾞｼｯｸM-PRO"/>
        </w:rPr>
      </w:pPr>
      <w:r>
        <w:rPr>
          <w:rFonts w:hint="eastAsia" w:ascii="HG丸ｺﾞｼｯｸM-PRO" w:hAnsi="HG丸ｺﾞｼｯｸM-PRO"/>
        </w:rPr>
        <w:t>（管轄）</w:t>
      </w:r>
    </w:p>
    <w:p>
      <w:pPr>
        <w:pStyle w:val="0"/>
        <w:ind w:left="0" w:leftChars="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19</w:t>
      </w:r>
      <w:r>
        <w:rPr>
          <w:rFonts w:hint="eastAsia" w:ascii="HG丸ｺﾞｼｯｸM-PRO" w:hAnsi="HG丸ｺﾞｼｯｸM-PRO"/>
        </w:rPr>
        <w:t>条　この契約に係る訴訟の提起又は調停の申立てについては、広島地方裁判所を第一審の専　　　属的合意管轄裁判所とする。</w:t>
      </w:r>
    </w:p>
    <w:p>
      <w:pPr>
        <w:pStyle w:val="0"/>
        <w:rPr>
          <w:rFonts w:hint="default" w:ascii="HG丸ｺﾞｼｯｸM-PRO" w:hAnsi="HG丸ｺﾞｼｯｸM-PRO"/>
        </w:rPr>
      </w:pPr>
      <w:r>
        <w:rPr>
          <w:rFonts w:hint="eastAsia" w:ascii="HG丸ｺﾞｼｯｸM-PRO" w:hAnsi="HG丸ｺﾞｼｯｸM-PRO"/>
        </w:rPr>
        <w:t xml:space="preserve">                         </w:t>
      </w:r>
    </w:p>
    <w:p>
      <w:pPr>
        <w:pStyle w:val="0"/>
        <w:ind w:firstLine="880" w:firstLineChars="400"/>
        <w:rPr>
          <w:rFonts w:hint="default" w:ascii="HG丸ｺﾞｼｯｸM-PRO" w:hAnsi="HG丸ｺﾞｼｯｸM-PRO"/>
        </w:rPr>
      </w:pPr>
      <w:r>
        <w:rPr>
          <w:rFonts w:hint="eastAsia" w:ascii="HG丸ｺﾞｼｯｸM-PRO" w:hAnsi="HG丸ｺﾞｼｯｸM-PRO"/>
        </w:rPr>
        <w:t>令和　　年　　月　　日</w:t>
      </w:r>
    </w:p>
    <w:p>
      <w:pPr>
        <w:pStyle w:val="0"/>
        <w:spacing w:line="240" w:lineRule="exact"/>
        <w:rPr>
          <w:rFonts w:hint="default" w:ascii="HG丸ｺﾞｼｯｸM-PRO" w:hAnsi="HG丸ｺﾞｼｯｸM-PRO"/>
        </w:rPr>
      </w:pPr>
      <w:r>
        <w:rPr>
          <w:rFonts w:hint="eastAsia" w:ascii="HG丸ｺﾞｼｯｸM-PRO" w:hAnsi="HG丸ｺﾞｼｯｸM-PRO"/>
        </w:rPr>
        <w:t xml:space="preserve">                          </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　　　　　　　　　　　　　　　甲　広島県東広島市高屋町中島</w:t>
      </w:r>
      <w:r>
        <w:rPr>
          <w:rFonts w:hint="eastAsia" w:ascii="HG丸ｺﾞｼｯｸM-PRO" w:hAnsi="HG丸ｺﾞｼｯｸM-PRO"/>
        </w:rPr>
        <w:t>31-</w:t>
      </w:r>
      <w:r>
        <w:rPr>
          <w:rFonts w:hint="eastAsia" w:ascii="HG丸ｺﾞｼｯｸM-PRO" w:hAnsi="HG丸ｺﾞｼｯｸM-PRO"/>
        </w:rPr>
        <w:t>７</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広島県立広島高等学校</w:t>
      </w:r>
    </w:p>
    <w:p>
      <w:pPr>
        <w:pStyle w:val="0"/>
        <w:ind w:firstLine="4400" w:firstLineChars="2000"/>
        <w:jc w:val="left"/>
        <w:rPr>
          <w:rFonts w:hint="default" w:ascii="HG丸ｺﾞｼｯｸM-PRO" w:hAnsi="HG丸ｺﾞｼｯｸM-PRO"/>
        </w:rPr>
      </w:pPr>
      <w:r>
        <w:rPr>
          <w:rFonts w:hint="eastAsia" w:ascii="HG丸ｺﾞｼｯｸM-PRO" w:hAnsi="HG丸ｺﾞｼｯｸM-PRO"/>
        </w:rPr>
        <w:t>校長　　　　　　　　　印</w:t>
      </w:r>
    </w:p>
    <w:p>
      <w:pPr>
        <w:pStyle w:val="0"/>
        <w:spacing w:line="240" w:lineRule="exact"/>
        <w:rPr>
          <w:rFonts w:hint="default" w:ascii="HG丸ｺﾞｼｯｸM-PRO" w:hAnsi="HG丸ｺﾞｼｯｸM-PRO"/>
        </w:rPr>
      </w:pPr>
      <w:r>
        <w:rPr>
          <w:rFonts w:hint="eastAsia" w:ascii="HG丸ｺﾞｼｯｸM-PRO" w:hAnsi="HG丸ｺﾞｼｯｸM-PRO"/>
        </w:rPr>
        <w:t>　　　　　　</w:t>
      </w:r>
      <w:r>
        <w:rPr>
          <w:rFonts w:hint="eastAsia" w:ascii="HG丸ｺﾞｼｯｸM-PRO" w:hAnsi="HG丸ｺﾞｼｯｸM-PRO"/>
        </w:rPr>
        <w:t xml:space="preserve">                        </w:t>
      </w:r>
    </w:p>
    <w:p>
      <w:pPr>
        <w:pStyle w:val="0"/>
        <w:ind w:firstLine="3960" w:firstLineChars="1800"/>
        <w:rPr>
          <w:rFonts w:hint="default" w:ascii="HG丸ｺﾞｼｯｸM-PRO" w:hAnsi="HG丸ｺﾞｼｯｸM-PRO"/>
        </w:rPr>
      </w:pPr>
      <w:r>
        <w:rPr>
          <w:rFonts w:hint="eastAsia" w:ascii="HG丸ｺﾞｼｯｸM-PRO" w:hAnsi="HG丸ｺﾞｼｯｸM-PRO"/>
        </w:rPr>
        <w:t>乙　</w:t>
      </w:r>
    </w:p>
    <w:p>
      <w:pPr>
        <w:pStyle w:val="0"/>
        <w:ind w:firstLine="3960" w:firstLineChars="1800"/>
        <w:rPr>
          <w:rFonts w:hint="default" w:ascii="HG丸ｺﾞｼｯｸM-PRO" w:hAnsi="HG丸ｺﾞｼｯｸM-PRO"/>
        </w:rPr>
      </w:pPr>
      <w:r>
        <w:rPr>
          <w:rFonts w:hint="eastAsia" w:ascii="HG丸ｺﾞｼｯｸM-PRO" w:hAnsi="HG丸ｺﾞｼｯｸM-PRO"/>
        </w:rPr>
        <w:t>　　　　　　　　　　　　　　　　　　　　　　　　　　　　　　　　　　</w:t>
      </w:r>
    </w:p>
    <w:p>
      <w:pPr>
        <w:pStyle w:val="0"/>
        <w:ind w:firstLine="7700" w:firstLineChars="3500"/>
        <w:rPr>
          <w:rFonts w:hint="default" w:ascii="HG丸ｺﾞｼｯｸM-PRO" w:hAnsi="HG丸ｺﾞｼｯｸM-PRO"/>
        </w:rPr>
      </w:pPr>
      <w:r>
        <w:rPr>
          <w:rFonts w:hint="eastAsia" w:ascii="HG丸ｺﾞｼｯｸM-PRO" w:hAnsi="HG丸ｺﾞｼｯｸM-PRO"/>
        </w:rPr>
        <w:t>　　印</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autoSpaceDE w:val="0"/>
        <w:autoSpaceDN w:val="0"/>
        <w:adjustRightInd w:val="0"/>
        <w:spacing w:line="360" w:lineRule="exact"/>
        <w:jc w:val="left"/>
        <w:rPr>
          <w:rFonts w:hint="default"/>
          <w:spacing w:val="10"/>
          <w:kern w:val="0"/>
        </w:rPr>
      </w:pPr>
      <w:r>
        <w:rPr>
          <w:rFonts w:hint="eastAsia"/>
          <w:spacing w:val="10"/>
          <w:kern w:val="0"/>
        </w:rPr>
        <w:t>（別紙）</w:t>
      </w:r>
    </w:p>
    <w:p>
      <w:pPr>
        <w:pStyle w:val="0"/>
        <w:autoSpaceDE w:val="0"/>
        <w:autoSpaceDN w:val="0"/>
        <w:adjustRightInd w:val="0"/>
        <w:spacing w:line="360" w:lineRule="exact"/>
        <w:jc w:val="left"/>
        <w:rPr>
          <w:rFonts w:hint="default"/>
          <w:spacing w:val="10"/>
          <w:kern w:val="0"/>
        </w:rPr>
      </w:pPr>
    </w:p>
    <w:p>
      <w:pPr>
        <w:pStyle w:val="0"/>
        <w:autoSpaceDE w:val="0"/>
        <w:autoSpaceDN w:val="0"/>
        <w:adjustRightInd w:val="0"/>
        <w:spacing w:line="360" w:lineRule="exact"/>
        <w:jc w:val="center"/>
        <w:rPr>
          <w:rFonts w:hint="default"/>
          <w:spacing w:val="10"/>
          <w:kern w:val="0"/>
          <w:sz w:val="28"/>
        </w:rPr>
      </w:pPr>
      <w:r>
        <w:rPr>
          <w:rFonts w:hint="eastAsia"/>
          <w:spacing w:val="10"/>
          <w:kern w:val="0"/>
          <w:sz w:val="28"/>
        </w:rPr>
        <w:t>特　約　事　項</w:t>
      </w:r>
    </w:p>
    <w:p>
      <w:pPr>
        <w:pStyle w:val="0"/>
        <w:autoSpaceDE w:val="0"/>
        <w:autoSpaceDN w:val="0"/>
        <w:adjustRightInd w:val="0"/>
        <w:spacing w:line="360" w:lineRule="exact"/>
        <w:jc w:val="left"/>
        <w:rPr>
          <w:rFonts w:hint="default"/>
          <w:spacing w:val="10"/>
          <w:kern w:val="0"/>
        </w:rPr>
      </w:pPr>
    </w:p>
    <w:p>
      <w:pPr>
        <w:pStyle w:val="0"/>
        <w:autoSpaceDE w:val="0"/>
        <w:autoSpaceDN w:val="0"/>
        <w:adjustRightInd w:val="0"/>
        <w:spacing w:line="360" w:lineRule="exact"/>
        <w:jc w:val="left"/>
        <w:rPr>
          <w:rFonts w:hint="default"/>
          <w:spacing w:val="10"/>
          <w:kern w:val="0"/>
        </w:rPr>
      </w:pPr>
      <w:r>
        <w:rPr>
          <w:rFonts w:hint="eastAsia"/>
          <w:spacing w:val="10"/>
          <w:kern w:val="0"/>
        </w:rPr>
        <w:t>　契約書第２条ただし書の「市場価格の著しい変動があった場合には、甲及び乙が協議の上、契約単価を改定することができる。」とは、次のとおりとする。</w:t>
      </w:r>
    </w:p>
    <w:p>
      <w:pPr>
        <w:pStyle w:val="0"/>
        <w:autoSpaceDE w:val="0"/>
        <w:autoSpaceDN w:val="0"/>
        <w:adjustRightInd w:val="0"/>
        <w:spacing w:line="360" w:lineRule="exact"/>
        <w:jc w:val="left"/>
        <w:rPr>
          <w:rFonts w:hint="default"/>
          <w:spacing w:val="10"/>
          <w:kern w:val="0"/>
        </w:rPr>
      </w:pPr>
    </w:p>
    <w:p>
      <w:pPr>
        <w:pStyle w:val="0"/>
        <w:autoSpaceDE w:val="0"/>
        <w:autoSpaceDN w:val="0"/>
        <w:adjustRightInd w:val="0"/>
        <w:spacing w:line="360" w:lineRule="exact"/>
        <w:ind w:left="283" w:hanging="283" w:hangingChars="118"/>
        <w:jc w:val="left"/>
        <w:rPr>
          <w:rFonts w:hint="default"/>
          <w:spacing w:val="10"/>
          <w:kern w:val="0"/>
        </w:rPr>
      </w:pPr>
      <w:r>
        <w:rPr>
          <w:rFonts w:hint="eastAsia"/>
          <w:spacing w:val="10"/>
          <w:kern w:val="0"/>
        </w:rPr>
        <w:t>１　経済産業省石油製品価格モニタリング事業の受託者が公表する石油製品の調査価格のうち、毎月の</w:t>
      </w:r>
      <w:r>
        <w:rPr>
          <w:rFonts w:hint="eastAsia" w:ascii="HG丸ｺﾞｼｯｸM-PRO" w:hAnsi="HG丸ｺﾞｼｯｸM-PRO" w:eastAsia="HG丸ｺﾞｼｯｸM-PRO"/>
          <w:spacing w:val="10"/>
          <w:kern w:val="0"/>
        </w:rPr>
        <w:t>23</w:t>
      </w:r>
      <w:r>
        <w:rPr>
          <w:rFonts w:hint="eastAsia"/>
          <w:spacing w:val="10"/>
          <w:kern w:val="0"/>
        </w:rPr>
        <w:t>日を基準日として、基準日以前に公表された基準日直近の調査日の週次の灯油配達現金価格（以下「公表価格」という。）について、契約締結の月の前月の公表価格（以下「基準公表価格」という。）を基準として１リットルあたり１円以上の変動があったときは、当該変動のあった月の翌月からの契約単価について、当該変動価格を当初契約単価に加えた額に改定する。</w:t>
      </w:r>
    </w:p>
    <w:p>
      <w:pPr>
        <w:pStyle w:val="0"/>
        <w:autoSpaceDE w:val="0"/>
        <w:autoSpaceDN w:val="0"/>
        <w:adjustRightInd w:val="0"/>
        <w:spacing w:line="360" w:lineRule="exact"/>
        <w:ind w:left="283" w:hanging="283" w:hangingChars="118"/>
        <w:jc w:val="left"/>
        <w:rPr>
          <w:rFonts w:hint="default"/>
          <w:spacing w:val="10"/>
          <w:kern w:val="0"/>
        </w:rPr>
      </w:pPr>
      <w:r>
        <w:rPr>
          <w:rFonts w:hint="eastAsia"/>
          <w:spacing w:val="10"/>
          <w:kern w:val="0"/>
        </w:rPr>
        <w:t>２　契約単価を改定した後に、公表価格と基準公表価格との差を当初契約単価に加えた額が、改定後の契約単価に比べて１円以上の差が生じたときは、当該月の翌月からの契約単価について、公表価格と基準公表価格との差を当初契約単価に加えた額に改定する。</w:t>
      </w:r>
    </w:p>
    <w:p>
      <w:pPr>
        <w:pStyle w:val="0"/>
        <w:autoSpaceDE w:val="0"/>
        <w:autoSpaceDN w:val="0"/>
        <w:adjustRightInd w:val="0"/>
        <w:spacing w:line="360" w:lineRule="exact"/>
        <w:ind w:left="283" w:hanging="283" w:hangingChars="118"/>
        <w:jc w:val="left"/>
        <w:rPr>
          <w:rFonts w:hint="default"/>
          <w:spacing w:val="10"/>
          <w:kern w:val="0"/>
        </w:rPr>
      </w:pPr>
      <w:r>
        <w:rPr>
          <w:rFonts w:hint="eastAsia"/>
          <w:spacing w:val="10"/>
          <w:kern w:val="0"/>
        </w:rPr>
        <w:t>３　公表価格は広島県における各品名の１リットル当たりの価格とする。</w:t>
      </w:r>
    </w:p>
    <w:p>
      <w:pPr>
        <w:pStyle w:val="0"/>
        <w:autoSpaceDE w:val="0"/>
        <w:autoSpaceDN w:val="0"/>
        <w:adjustRightInd w:val="0"/>
        <w:spacing w:line="360" w:lineRule="exact"/>
        <w:ind w:left="283" w:hanging="283" w:hangingChars="118"/>
        <w:jc w:val="left"/>
        <w:rPr>
          <w:rFonts w:hint="default"/>
          <w:spacing w:val="10"/>
          <w:kern w:val="0"/>
        </w:rPr>
      </w:pPr>
      <w:r>
        <w:rPr>
          <w:rFonts w:hint="eastAsia"/>
          <w:spacing w:val="10"/>
          <w:kern w:val="0"/>
        </w:rPr>
        <w:t>４　消費税（地方消費税を含む）等について変動があった場合は、当該変動が開始される日から当該変動額を加減し、契約単価を改定する。</w:t>
      </w:r>
    </w:p>
    <w:p>
      <w:pPr>
        <w:pStyle w:val="0"/>
        <w:rPr>
          <w:rFonts w:hint="default"/>
        </w:rPr>
      </w:pP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HG丸ｺﾞｼｯｸM-PRO"/>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HG丸ｺﾞｼｯｸM-PRO"/>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HG丸ｺﾞｼｯｸM-PRO"/>
      <w:sz w:val="22"/>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66</TotalTime>
  <Pages>5</Pages>
  <Words>48</Words>
  <Characters>5009</Characters>
  <Application>JUST Note</Application>
  <Lines>201</Lines>
  <Paragraphs>103</Paragraphs>
  <Company>広島県庁</Company>
  <CharactersWithSpaces>5332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2026-02-19T02:27:32Z</cp:lastPrinted>
  <dcterms:created xsi:type="dcterms:W3CDTF">2022-02-15T04:23:00Z</dcterms:created>
  <dcterms:modified xsi:type="dcterms:W3CDTF">2026-02-26T06:11:39Z</dcterms:modified>
  <cp:revision>11</cp:revision>
</cp:coreProperties>
</file>